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639"/>
        </w:tabs>
        <w:spacing w:after="0"/>
        <w:ind w:left="0" w:leftChars="0" w:firstLine="0" w:firstLineChars="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 Meeting #1</w:t>
      </w:r>
      <w:r>
        <w:rPr>
          <w:rFonts w:hint="eastAsia" w:eastAsia="宋体"/>
          <w:b/>
          <w:sz w:val="24"/>
          <w:lang w:val="en-US" w:eastAsia="zh-CN"/>
        </w:rPr>
        <w:t>04</w:t>
      </w:r>
      <w:r>
        <w:rPr>
          <w:b/>
          <w:i/>
          <w:sz w:val="28"/>
        </w:rPr>
        <w:tab/>
      </w:r>
      <w:r>
        <w:rPr>
          <w:rFonts w:eastAsia="Times New Roman" w:cs="Times New Roman"/>
          <w:b/>
          <w:sz w:val="24"/>
        </w:rPr>
        <w:t>SP-240781</w:t>
      </w:r>
    </w:p>
    <w:p>
      <w:pPr>
        <w:pBdr>
          <w:bottom w:val="single" w:color="auto" w:sz="4" w:space="1"/>
        </w:pBdr>
        <w:tabs>
          <w:tab w:val="right" w:pos="9214"/>
        </w:tabs>
        <w:rPr>
          <w:rFonts w:ascii="Arial" w:hAnsi="Arial" w:cs="Arial"/>
          <w:b/>
        </w:rPr>
      </w:pPr>
      <w:r>
        <w:rPr>
          <w:rFonts w:hint="eastAsia" w:ascii="Arial" w:hAnsi="Arial" w:cs="Arial"/>
          <w:b/>
          <w:lang w:val="en-US" w:eastAsia="zh-CN"/>
        </w:rPr>
        <w:t>Shanghai, China</w:t>
      </w:r>
      <w:r>
        <w:rPr>
          <w:rFonts w:ascii="Arial" w:hAnsi="Arial" w:cs="Arial"/>
          <w:b/>
        </w:rPr>
        <w:t xml:space="preserve">, </w:t>
      </w:r>
      <w:r>
        <w:rPr>
          <w:rFonts w:hint="eastAsia" w:ascii="Arial" w:hAnsi="Arial" w:cs="Arial"/>
          <w:b/>
        </w:rPr>
        <w:t>June 18 – 21, 2024</w:t>
      </w:r>
    </w:p>
    <w:p>
      <w:pPr>
        <w:tabs>
          <w:tab w:val="left" w:pos="1701"/>
        </w:tabs>
        <w:rPr>
          <w:rFonts w:ascii="Arial" w:hAnsi="Arial" w:eastAsia="宋体"/>
          <w:lang w:eastAsia="en-GB"/>
        </w:rPr>
      </w:pPr>
      <w:r>
        <w:rPr>
          <w:rFonts w:ascii="Arial" w:hAnsi="Arial" w:eastAsia="宋体"/>
          <w:lang w:eastAsia="en-GB"/>
        </w:rPr>
        <w:t>Title:</w:t>
      </w:r>
      <w:r>
        <w:rPr>
          <w:rFonts w:ascii="Arial" w:hAnsi="Arial" w:eastAsia="宋体"/>
          <w:lang w:eastAsia="en-GB"/>
        </w:rPr>
        <w:tab/>
      </w:r>
      <w:r>
        <w:rPr>
          <w:rFonts w:ascii="Arial" w:hAnsi="Arial" w:eastAsia="宋体"/>
          <w:lang w:eastAsia="en-GB"/>
        </w:rPr>
        <w:t xml:space="preserve">Summary for </w:t>
      </w:r>
      <w:r>
        <w:rPr>
          <w:rFonts w:ascii="Arial" w:hAnsi="Arial" w:cs="Arial"/>
          <w:color w:val="000000"/>
          <w:sz w:val="18"/>
          <w:szCs w:val="18"/>
          <w:lang w:eastAsia="en-GB"/>
        </w:rPr>
        <w:t>NSCALE</w:t>
      </w:r>
    </w:p>
    <w:p>
      <w:pPr>
        <w:tabs>
          <w:tab w:val="left" w:pos="1701"/>
        </w:tabs>
        <w:rPr>
          <w:rFonts w:ascii="Arial" w:hAnsi="Arial" w:eastAsia="宋体"/>
          <w:lang w:eastAsia="zh-CN"/>
        </w:rPr>
      </w:pPr>
      <w:r>
        <w:rPr>
          <w:rFonts w:ascii="Arial" w:hAnsi="Arial" w:eastAsia="宋体"/>
          <w:lang w:eastAsia="en-GB"/>
        </w:rPr>
        <w:t>Type:</w:t>
      </w:r>
      <w:r>
        <w:rPr>
          <w:rFonts w:ascii="Arial" w:hAnsi="Arial" w:eastAsia="宋体"/>
          <w:lang w:eastAsia="en-GB"/>
        </w:rPr>
        <w:tab/>
      </w:r>
      <w:r>
        <w:rPr>
          <w:rFonts w:ascii="Arial" w:hAnsi="Arial" w:eastAsia="宋体"/>
          <w:lang w:eastAsia="zh-CN"/>
        </w:rPr>
        <w:t xml:space="preserve">Work Item Summary </w:t>
      </w:r>
    </w:p>
    <w:p>
      <w:pPr>
        <w:tabs>
          <w:tab w:val="left" w:pos="1701"/>
        </w:tabs>
        <w:rPr>
          <w:rFonts w:ascii="Arial" w:hAnsi="Arial" w:eastAsia="宋体"/>
          <w:lang w:eastAsia="en-GB"/>
        </w:rPr>
      </w:pPr>
      <w:r>
        <w:rPr>
          <w:rFonts w:ascii="Arial" w:hAnsi="Arial" w:eastAsia="宋体"/>
          <w:lang w:eastAsia="en-GB"/>
        </w:rPr>
        <w:t>Agenda Item:</w:t>
      </w:r>
      <w:r>
        <w:rPr>
          <w:rFonts w:ascii="Arial" w:hAnsi="Arial" w:eastAsia="宋体"/>
          <w:lang w:eastAsia="en-GB"/>
        </w:rPr>
        <w:tab/>
      </w:r>
      <w:r>
        <w:rPr>
          <w:rFonts w:ascii="Arial" w:hAnsi="Arial" w:eastAsia="宋体"/>
          <w:lang w:eastAsia="en-GB"/>
        </w:rPr>
        <w:t xml:space="preserve">21.5 </w:t>
      </w:r>
    </w:p>
    <w:p>
      <w:pPr>
        <w:tabs>
          <w:tab w:val="left" w:pos="1701"/>
        </w:tabs>
        <w:rPr>
          <w:rFonts w:hint="default" w:ascii="Arial" w:hAnsi="Arial" w:eastAsia="宋体"/>
          <w:lang w:val="en-US" w:eastAsia="zh-CN"/>
        </w:rPr>
      </w:pPr>
      <w:r>
        <w:rPr>
          <w:rFonts w:ascii="Arial" w:hAnsi="Arial" w:eastAsia="宋体"/>
          <w:lang w:eastAsia="en-GB"/>
        </w:rPr>
        <w:t>Source:</w:t>
      </w:r>
      <w:r>
        <w:rPr>
          <w:rFonts w:ascii="Arial" w:hAnsi="Arial" w:eastAsia="宋体"/>
          <w:lang w:eastAsia="en-GB"/>
        </w:rPr>
        <w:tab/>
      </w:r>
      <w:r>
        <w:rPr>
          <w:rFonts w:hint="eastAsia" w:ascii="Arial" w:hAnsi="Arial" w:eastAsia="宋体"/>
          <w:lang w:val="en-US" w:eastAsia="zh-CN"/>
        </w:rPr>
        <w:t>Shaowen Zheng</w:t>
      </w:r>
    </w:p>
    <w:p>
      <w:pPr>
        <w:tabs>
          <w:tab w:val="left" w:pos="1701"/>
        </w:tabs>
        <w:rPr>
          <w:rFonts w:hint="default" w:ascii="Arial" w:hAnsi="Arial" w:eastAsia="宋体"/>
          <w:lang w:val="en-US" w:eastAsia="zh-CN"/>
        </w:rPr>
      </w:pPr>
      <w:r>
        <w:rPr>
          <w:rFonts w:ascii="Arial" w:hAnsi="Arial" w:eastAsia="宋体"/>
          <w:lang w:eastAsia="en-GB"/>
        </w:rPr>
        <w:t>Contact:</w:t>
      </w:r>
      <w:r>
        <w:rPr>
          <w:rFonts w:ascii="Arial" w:hAnsi="Arial" w:eastAsia="宋体"/>
          <w:lang w:eastAsia="en-GB"/>
        </w:rPr>
        <w:tab/>
      </w:r>
      <w:r>
        <w:rPr>
          <w:rFonts w:hint="eastAsia" w:ascii="Arial" w:hAnsi="Arial" w:eastAsia="宋体"/>
          <w:lang w:val="en-US" w:eastAsia="zh-CN"/>
        </w:rPr>
        <w:t>zhengshaowen@chinamobile.com</w:t>
      </w:r>
    </w:p>
    <w:p>
      <w:pPr>
        <w:pBdr>
          <w:bottom w:val="single" w:color="auto" w:sz="6" w:space="1"/>
        </w:pBdr>
      </w:pPr>
    </w:p>
    <w:tbl>
      <w:tblPr>
        <w:tblStyle w:val="6"/>
        <w:tblW w:w="10400" w:type="dxa"/>
        <w:tblInd w:w="108" w:type="dxa"/>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Layout w:type="autofit"/>
        <w:tblCellMar>
          <w:top w:w="0" w:type="dxa"/>
          <w:left w:w="108" w:type="dxa"/>
          <w:bottom w:w="0" w:type="dxa"/>
          <w:right w:w="108" w:type="dxa"/>
        </w:tblCellMar>
      </w:tblPr>
      <w:tblGrid>
        <w:gridCol w:w="958"/>
        <w:gridCol w:w="5065"/>
        <w:gridCol w:w="1267"/>
        <w:gridCol w:w="617"/>
        <w:gridCol w:w="959"/>
        <w:gridCol w:w="1534"/>
      </w:tblGrid>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CellMar>
            <w:top w:w="0" w:type="dxa"/>
            <w:left w:w="108" w:type="dxa"/>
            <w:bottom w:w="0" w:type="dxa"/>
            <w:right w:w="108" w:type="dxa"/>
          </w:tblCellMar>
        </w:tblPrEx>
        <w:trPr>
          <w:trHeight w:val="170" w:hRule="atLeast"/>
        </w:trPr>
        <w:tc>
          <w:tcPr>
            <w:tcW w:w="958" w:type="dxa"/>
            <w:tcBorders>
              <w:top w:val="single" w:color="auto" w:sz="8" w:space="0"/>
              <w:left w:val="single" w:color="auto" w:sz="8" w:space="0"/>
            </w:tcBorders>
            <w:shd w:val="clear" w:color="000000" w:fill="auto"/>
          </w:tcPr>
          <w:p>
            <w:pPr>
              <w:rPr>
                <w:rFonts w:ascii="Arial" w:hAnsi="Arial" w:cs="Arial"/>
                <w:b/>
                <w:bCs/>
                <w:color w:val="000000"/>
                <w:sz w:val="12"/>
                <w:szCs w:val="12"/>
                <w:lang w:eastAsia="en-GB"/>
              </w:rPr>
            </w:pPr>
            <w:bookmarkStart w:id="0" w:name="_Hlk94172402"/>
            <w:r>
              <w:rPr>
                <w:rFonts w:ascii="Arial" w:hAnsi="Arial" w:cs="Arial"/>
                <w:b/>
                <w:bCs/>
                <w:color w:val="000000"/>
                <w:sz w:val="12"/>
                <w:szCs w:val="12"/>
                <w:lang w:eastAsia="en-GB"/>
              </w:rPr>
              <w:t>Unique ID</w:t>
            </w:r>
          </w:p>
        </w:tc>
        <w:tc>
          <w:tcPr>
            <w:tcW w:w="5065" w:type="dxa"/>
            <w:tcBorders>
              <w:top w:val="single" w:color="auto" w:sz="8" w:space="0"/>
            </w:tcBorders>
            <w:shd w:val="clear" w:color="000000" w:fill="auto"/>
          </w:tcPr>
          <w:p>
            <w:pPr>
              <w:spacing w:after="0"/>
              <w:rPr>
                <w:rFonts w:ascii="Arial" w:hAnsi="Arial" w:cs="Arial"/>
                <w:b/>
                <w:bCs/>
                <w:color w:val="0000FF"/>
                <w:lang w:eastAsia="en-GB"/>
              </w:rPr>
            </w:pPr>
            <w:r>
              <w:rPr>
                <w:rFonts w:ascii="Arial" w:hAnsi="Arial" w:cs="Arial"/>
                <w:b/>
                <w:bCs/>
                <w:color w:val="0000FF"/>
                <w:lang w:eastAsia="en-GB"/>
              </w:rPr>
              <w:t>Name</w:t>
            </w:r>
          </w:p>
        </w:tc>
        <w:tc>
          <w:tcPr>
            <w:tcW w:w="1267" w:type="dxa"/>
            <w:tcBorders>
              <w:top w:val="single" w:color="auto" w:sz="8" w:space="0"/>
            </w:tcBorders>
            <w:shd w:val="clear" w:color="000000" w:fill="auto"/>
            <w:noWrap/>
          </w:tcPr>
          <w:p>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Acronym</w:t>
            </w:r>
          </w:p>
        </w:tc>
        <w:tc>
          <w:tcPr>
            <w:tcW w:w="617" w:type="dxa"/>
            <w:tcBorders>
              <w:top w:val="single" w:color="auto" w:sz="8" w:space="0"/>
            </w:tcBorders>
            <w:shd w:val="clear" w:color="000000" w:fill="auto"/>
          </w:tcPr>
          <w:p>
            <w:pPr>
              <w:spacing w:after="0"/>
              <w:rPr>
                <w:rFonts w:ascii="Calibri" w:hAnsi="Calibri" w:cs="Calibri"/>
                <w:color w:val="000000"/>
                <w:sz w:val="14"/>
                <w:szCs w:val="14"/>
                <w:lang w:eastAsia="en-GB"/>
              </w:rPr>
            </w:pPr>
            <w:r>
              <w:rPr>
                <w:rFonts w:ascii="Calibri" w:hAnsi="Calibri" w:cs="Calibri"/>
                <w:color w:val="000000"/>
                <w:sz w:val="14"/>
                <w:szCs w:val="14"/>
                <w:lang w:eastAsia="en-GB"/>
              </w:rPr>
              <w:t>WG</w:t>
            </w:r>
          </w:p>
        </w:tc>
        <w:tc>
          <w:tcPr>
            <w:tcW w:w="959" w:type="dxa"/>
            <w:tcBorders>
              <w:top w:val="single" w:color="auto" w:sz="8" w:space="0"/>
            </w:tcBorders>
            <w:shd w:val="clear" w:color="000000" w:fill="auto"/>
          </w:tcPr>
          <w:p>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WID</w:t>
            </w:r>
          </w:p>
        </w:tc>
        <w:tc>
          <w:tcPr>
            <w:tcW w:w="1534" w:type="dxa"/>
            <w:tcBorders>
              <w:top w:val="single" w:color="auto" w:sz="8" w:space="0"/>
            </w:tcBorders>
            <w:shd w:val="clear" w:color="000000" w:fill="auto"/>
          </w:tcPr>
          <w:p>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 Rapporteur name</w:t>
            </w:r>
          </w:p>
        </w:tc>
      </w:tr>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CellMar>
            <w:top w:w="0" w:type="dxa"/>
            <w:left w:w="108" w:type="dxa"/>
            <w:bottom w:w="0" w:type="dxa"/>
            <w:right w:w="108" w:type="dxa"/>
          </w:tblCellMar>
        </w:tblPrEx>
        <w:trPr>
          <w:trHeight w:val="170" w:hRule="atLeast"/>
        </w:trPr>
        <w:tc>
          <w:tcPr>
            <w:tcW w:w="958" w:type="dxa"/>
            <w:tcBorders>
              <w:top w:val="single" w:color="auto" w:sz="8" w:space="0"/>
              <w:left w:val="single" w:color="auto" w:sz="8" w:space="0"/>
            </w:tcBorders>
            <w:shd w:val="clear" w:color="000000" w:fill="auto"/>
            <w:vAlign w:val="top"/>
          </w:tcPr>
          <w:p>
            <w:pPr>
              <w:overflowPunct/>
              <w:autoSpaceDE/>
              <w:autoSpaceDN/>
              <w:adjustRightInd/>
              <w:spacing w:after="0"/>
              <w:textAlignment w:val="auto"/>
              <w:rPr>
                <w:rFonts w:ascii="Arial" w:hAnsi="Arial" w:eastAsia="Times New Roman" w:cs="Arial"/>
                <w:color w:val="000000"/>
                <w:sz w:val="18"/>
                <w:szCs w:val="18"/>
                <w:lang w:val="en-GB" w:eastAsia="en-GB" w:bidi="ar-SA"/>
              </w:rPr>
            </w:pPr>
            <w:r>
              <w:rPr>
                <w:rFonts w:ascii="Arial" w:hAnsi="Arial" w:cs="Arial"/>
                <w:color w:val="000000"/>
                <w:sz w:val="18"/>
                <w:szCs w:val="18"/>
                <w:lang w:eastAsia="en-GB"/>
              </w:rPr>
              <w:t>910022</w:t>
            </w:r>
          </w:p>
        </w:tc>
        <w:tc>
          <w:tcPr>
            <w:tcW w:w="5065" w:type="dxa"/>
            <w:shd w:val="clear" w:color="000000" w:fill="auto"/>
            <w:vAlign w:val="top"/>
          </w:tcPr>
          <w:p>
            <w:pPr>
              <w:overflowPunct/>
              <w:autoSpaceDE/>
              <w:autoSpaceDN/>
              <w:adjustRightInd/>
              <w:spacing w:after="0"/>
              <w:textAlignment w:val="auto"/>
              <w:rPr>
                <w:rFonts w:ascii="Arial" w:hAnsi="Arial" w:eastAsia="Times New Roman" w:cs="Arial"/>
                <w:i/>
                <w:iCs/>
                <w:color w:val="000000"/>
                <w:sz w:val="18"/>
                <w:szCs w:val="18"/>
                <w:lang w:val="en-GB" w:eastAsia="en-GB" w:bidi="ar-SA"/>
              </w:rPr>
            </w:pPr>
            <w:r>
              <w:rPr>
                <w:rFonts w:ascii="Arial" w:hAnsi="Arial" w:cs="Arial"/>
                <w:i/>
                <w:iCs/>
                <w:color w:val="000000"/>
                <w:sz w:val="18"/>
                <w:szCs w:val="18"/>
                <w:lang w:eastAsia="en-GB"/>
              </w:rPr>
              <w:t xml:space="preserve">Study on Network Slice Capability Exposure for Application Layer Enablement </w:t>
            </w:r>
          </w:p>
        </w:tc>
        <w:tc>
          <w:tcPr>
            <w:tcW w:w="1267" w:type="dxa"/>
            <w:shd w:val="clear" w:color="000000" w:fill="auto"/>
            <w:noWrap/>
            <w:vAlign w:val="top"/>
          </w:tcPr>
          <w:p>
            <w:pPr>
              <w:overflowPunct/>
              <w:autoSpaceDE/>
              <w:autoSpaceDN/>
              <w:adjustRightInd/>
              <w:spacing w:after="0"/>
              <w:textAlignment w:val="auto"/>
              <w:rPr>
                <w:rFonts w:ascii="Arial" w:hAnsi="Arial" w:eastAsia="Times New Roman" w:cs="Arial"/>
                <w:color w:val="000000"/>
                <w:sz w:val="18"/>
                <w:szCs w:val="18"/>
                <w:lang w:val="en-GB" w:eastAsia="en-GB" w:bidi="ar-SA"/>
              </w:rPr>
            </w:pPr>
            <w:r>
              <w:rPr>
                <w:rFonts w:ascii="Arial" w:hAnsi="Arial" w:cs="Arial"/>
                <w:color w:val="000000"/>
                <w:sz w:val="18"/>
                <w:szCs w:val="18"/>
                <w:lang w:eastAsia="en-GB"/>
              </w:rPr>
              <w:t>FS_NSCALE</w:t>
            </w:r>
          </w:p>
        </w:tc>
        <w:tc>
          <w:tcPr>
            <w:tcW w:w="617" w:type="dxa"/>
            <w:shd w:val="clear" w:color="000000" w:fill="auto"/>
            <w:vAlign w:val="top"/>
          </w:tcPr>
          <w:p>
            <w:pPr>
              <w:overflowPunct/>
              <w:autoSpaceDE/>
              <w:autoSpaceDN/>
              <w:adjustRightInd/>
              <w:spacing w:after="0"/>
              <w:textAlignment w:val="auto"/>
              <w:rPr>
                <w:rFonts w:ascii="Arial" w:hAnsi="Arial" w:eastAsia="Times New Roman" w:cs="Arial"/>
                <w:color w:val="000000"/>
                <w:sz w:val="18"/>
                <w:szCs w:val="18"/>
                <w:lang w:val="en-GB" w:eastAsia="en-GB" w:bidi="ar-SA"/>
              </w:rPr>
            </w:pPr>
            <w:r>
              <w:rPr>
                <w:rFonts w:ascii="Arial" w:hAnsi="Arial" w:cs="Arial"/>
                <w:color w:val="000000"/>
                <w:sz w:val="18"/>
                <w:szCs w:val="18"/>
                <w:lang w:eastAsia="en-GB"/>
              </w:rPr>
              <w:t>S6</w:t>
            </w:r>
          </w:p>
        </w:tc>
        <w:tc>
          <w:tcPr>
            <w:tcW w:w="959" w:type="dxa"/>
            <w:shd w:val="clear" w:color="000000" w:fill="auto"/>
            <w:vAlign w:val="top"/>
          </w:tcPr>
          <w:p>
            <w:pPr>
              <w:overflowPunct/>
              <w:autoSpaceDE/>
              <w:autoSpaceDN/>
              <w:adjustRightInd/>
              <w:spacing w:after="0"/>
              <w:textAlignment w:val="auto"/>
              <w:rPr>
                <w:rFonts w:ascii="Calibri" w:hAnsi="Calibri" w:eastAsia="Times New Roman" w:cs="Calibri"/>
                <w:color w:val="0563C1"/>
                <w:sz w:val="18"/>
                <w:szCs w:val="18"/>
                <w:u w:val="single"/>
                <w:lang w:val="en-GB" w:eastAsia="en-GB" w:bidi="ar-SA"/>
              </w:rPr>
            </w:pPr>
            <w:r>
              <w:fldChar w:fldCharType="begin"/>
            </w:r>
            <w:r>
              <w:instrText xml:space="preserve"> HYPERLINK "https://www.3gpp.org/ftp/Information/WI_Sheet/SP-211509.zip" </w:instrText>
            </w:r>
            <w:r>
              <w:fldChar w:fldCharType="separate"/>
            </w:r>
            <w:r>
              <w:rPr>
                <w:rFonts w:ascii="Calibri" w:hAnsi="Calibri" w:cs="Calibri"/>
                <w:color w:val="0563C1"/>
                <w:sz w:val="16"/>
                <w:szCs w:val="18"/>
                <w:u w:val="single"/>
                <w:lang w:eastAsia="en-GB"/>
              </w:rPr>
              <w:t>SP-211509</w:t>
            </w:r>
            <w:r>
              <w:rPr>
                <w:rFonts w:ascii="Calibri" w:hAnsi="Calibri" w:cs="Calibri"/>
                <w:color w:val="0563C1"/>
                <w:sz w:val="16"/>
                <w:szCs w:val="18"/>
                <w:u w:val="single"/>
                <w:lang w:eastAsia="en-GB"/>
              </w:rPr>
              <w:fldChar w:fldCharType="end"/>
            </w:r>
          </w:p>
        </w:tc>
        <w:tc>
          <w:tcPr>
            <w:tcW w:w="1534" w:type="dxa"/>
            <w:shd w:val="clear" w:color="000000" w:fill="auto"/>
            <w:vAlign w:val="top"/>
          </w:tcPr>
          <w:p>
            <w:pPr>
              <w:overflowPunct/>
              <w:autoSpaceDE/>
              <w:autoSpaceDN/>
              <w:adjustRightInd/>
              <w:spacing w:after="0"/>
              <w:textAlignment w:val="auto"/>
              <w:rPr>
                <w:rFonts w:ascii="Arial" w:hAnsi="Arial" w:eastAsia="Times New Roman" w:cs="Arial"/>
                <w:b/>
                <w:bCs/>
                <w:color w:val="000000"/>
                <w:sz w:val="18"/>
                <w:szCs w:val="18"/>
                <w:lang w:val="en-GB" w:eastAsia="en-GB" w:bidi="ar-SA"/>
              </w:rPr>
            </w:pPr>
            <w:r>
              <w:rPr>
                <w:rFonts w:ascii="Arial" w:hAnsi="Arial" w:cs="Arial"/>
                <w:b/>
                <w:bCs/>
                <w:color w:val="000000"/>
                <w:sz w:val="18"/>
                <w:szCs w:val="18"/>
                <w:lang w:eastAsia="en-GB"/>
              </w:rPr>
              <w:t xml:space="preserve">Zheng, Shaowen, CMCC </w:t>
            </w:r>
          </w:p>
        </w:tc>
      </w:tr>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CellMar>
            <w:top w:w="0" w:type="dxa"/>
            <w:left w:w="108" w:type="dxa"/>
            <w:bottom w:w="0" w:type="dxa"/>
            <w:right w:w="108" w:type="dxa"/>
          </w:tblCellMar>
        </w:tblPrEx>
        <w:trPr>
          <w:trHeight w:val="170" w:hRule="atLeast"/>
        </w:trPr>
        <w:tc>
          <w:tcPr>
            <w:tcW w:w="958" w:type="dxa"/>
            <w:tcBorders>
              <w:top w:val="single" w:color="auto" w:sz="8" w:space="0"/>
              <w:left w:val="single" w:color="auto" w:sz="8" w:space="0"/>
            </w:tcBorders>
            <w:shd w:val="clear" w:color="000000" w:fill="auto"/>
            <w:vAlign w:val="top"/>
          </w:tcPr>
          <w:p>
            <w:pPr>
              <w:overflowPunct/>
              <w:autoSpaceDE/>
              <w:autoSpaceDN/>
              <w:adjustRightInd/>
              <w:spacing w:after="0"/>
              <w:textAlignment w:val="auto"/>
              <w:rPr>
                <w:rFonts w:ascii="Arial" w:hAnsi="Arial" w:eastAsia="Times New Roman" w:cs="Arial"/>
                <w:color w:val="000000"/>
                <w:sz w:val="18"/>
                <w:szCs w:val="18"/>
                <w:lang w:val="en-GB" w:eastAsia="en-GB" w:bidi="ar-SA"/>
              </w:rPr>
            </w:pPr>
            <w:r>
              <w:rPr>
                <w:rFonts w:ascii="Arial" w:hAnsi="Arial" w:cs="Arial"/>
                <w:color w:val="000000"/>
                <w:sz w:val="18"/>
                <w:szCs w:val="18"/>
                <w:lang w:eastAsia="en-GB"/>
              </w:rPr>
              <w:t>960013</w:t>
            </w:r>
          </w:p>
        </w:tc>
        <w:tc>
          <w:tcPr>
            <w:tcW w:w="5065" w:type="dxa"/>
            <w:shd w:val="clear" w:color="000000" w:fill="auto"/>
            <w:vAlign w:val="top"/>
          </w:tcPr>
          <w:p>
            <w:pPr>
              <w:overflowPunct/>
              <w:autoSpaceDE/>
              <w:autoSpaceDN/>
              <w:adjustRightInd/>
              <w:spacing w:after="0"/>
              <w:textAlignment w:val="auto"/>
              <w:rPr>
                <w:rFonts w:ascii="Arial" w:hAnsi="Arial" w:eastAsia="Times New Roman" w:cs="Arial"/>
                <w:b/>
                <w:bCs/>
                <w:color w:val="0000FF"/>
                <w:sz w:val="18"/>
                <w:szCs w:val="18"/>
                <w:lang w:val="en-GB" w:eastAsia="en-GB" w:bidi="ar-SA"/>
              </w:rPr>
            </w:pPr>
            <w:r>
              <w:rPr>
                <w:rFonts w:ascii="Arial" w:hAnsi="Arial" w:cs="Arial"/>
                <w:b/>
                <w:bCs/>
                <w:color w:val="0000FF"/>
                <w:sz w:val="18"/>
                <w:szCs w:val="18"/>
                <w:lang w:eastAsia="en-GB"/>
              </w:rPr>
              <w:t xml:space="preserve">Network Slice Capability Exposure for Application Layer Enablement </w:t>
            </w:r>
          </w:p>
        </w:tc>
        <w:tc>
          <w:tcPr>
            <w:tcW w:w="1267" w:type="dxa"/>
            <w:shd w:val="clear" w:color="000000" w:fill="auto"/>
            <w:noWrap/>
            <w:vAlign w:val="top"/>
          </w:tcPr>
          <w:p>
            <w:pPr>
              <w:overflowPunct/>
              <w:autoSpaceDE/>
              <w:autoSpaceDN/>
              <w:adjustRightInd/>
              <w:spacing w:after="0"/>
              <w:textAlignment w:val="auto"/>
              <w:rPr>
                <w:rFonts w:ascii="Arial" w:hAnsi="Arial" w:eastAsia="Times New Roman" w:cs="Arial"/>
                <w:color w:val="000000"/>
                <w:sz w:val="18"/>
                <w:szCs w:val="18"/>
                <w:lang w:val="en-GB" w:eastAsia="en-GB" w:bidi="ar-SA"/>
              </w:rPr>
            </w:pPr>
            <w:r>
              <w:rPr>
                <w:rFonts w:ascii="Arial" w:hAnsi="Arial" w:cs="Arial"/>
                <w:color w:val="000000"/>
                <w:sz w:val="18"/>
                <w:szCs w:val="18"/>
                <w:lang w:eastAsia="en-GB"/>
              </w:rPr>
              <w:t>NSCALE</w:t>
            </w:r>
          </w:p>
        </w:tc>
        <w:tc>
          <w:tcPr>
            <w:tcW w:w="617" w:type="dxa"/>
            <w:shd w:val="clear" w:color="000000" w:fill="auto"/>
            <w:vAlign w:val="top"/>
          </w:tcPr>
          <w:p>
            <w:pPr>
              <w:overflowPunct/>
              <w:autoSpaceDE/>
              <w:autoSpaceDN/>
              <w:adjustRightInd/>
              <w:spacing w:after="0"/>
              <w:textAlignment w:val="auto"/>
              <w:rPr>
                <w:rFonts w:ascii="Arial" w:hAnsi="Arial" w:eastAsia="Times New Roman" w:cs="Arial"/>
                <w:color w:val="000000"/>
                <w:sz w:val="18"/>
                <w:szCs w:val="18"/>
                <w:lang w:val="en-GB" w:eastAsia="en-GB" w:bidi="ar-SA"/>
              </w:rPr>
            </w:pPr>
            <w:r>
              <w:rPr>
                <w:rFonts w:ascii="Arial" w:hAnsi="Arial" w:cs="Arial"/>
                <w:color w:val="000000"/>
                <w:sz w:val="18"/>
                <w:szCs w:val="18"/>
                <w:lang w:eastAsia="en-GB"/>
              </w:rPr>
              <w:t>S6</w:t>
            </w:r>
          </w:p>
        </w:tc>
        <w:tc>
          <w:tcPr>
            <w:tcW w:w="959" w:type="dxa"/>
            <w:shd w:val="clear" w:color="000000" w:fill="auto"/>
            <w:vAlign w:val="top"/>
          </w:tcPr>
          <w:p>
            <w:pPr>
              <w:overflowPunct/>
              <w:autoSpaceDE/>
              <w:autoSpaceDN/>
              <w:adjustRightInd/>
              <w:spacing w:after="0"/>
              <w:textAlignment w:val="auto"/>
              <w:rPr>
                <w:rFonts w:ascii="Calibri" w:hAnsi="Calibri" w:eastAsia="Times New Roman" w:cs="Calibri"/>
                <w:color w:val="0563C1"/>
                <w:sz w:val="18"/>
                <w:szCs w:val="18"/>
                <w:u w:val="single"/>
                <w:lang w:val="en-GB" w:eastAsia="en-GB" w:bidi="ar-SA"/>
              </w:rPr>
            </w:pPr>
            <w:r>
              <w:fldChar w:fldCharType="begin"/>
            </w:r>
            <w:r>
              <w:instrText xml:space="preserve"> HYPERLINK "https://www.3gpp.org/ftp/Information/WI_Sheet/SP-220470.zip" </w:instrText>
            </w:r>
            <w:r>
              <w:fldChar w:fldCharType="separate"/>
            </w:r>
            <w:r>
              <w:rPr>
                <w:rFonts w:ascii="Calibri" w:hAnsi="Calibri" w:cs="Calibri"/>
                <w:color w:val="0563C1"/>
                <w:sz w:val="16"/>
                <w:szCs w:val="18"/>
                <w:u w:val="single"/>
                <w:lang w:eastAsia="en-GB"/>
              </w:rPr>
              <w:t>SP-220470</w:t>
            </w:r>
            <w:r>
              <w:rPr>
                <w:rFonts w:ascii="Calibri" w:hAnsi="Calibri" w:cs="Calibri"/>
                <w:color w:val="0563C1"/>
                <w:sz w:val="16"/>
                <w:szCs w:val="18"/>
                <w:u w:val="single"/>
                <w:lang w:eastAsia="en-GB"/>
              </w:rPr>
              <w:fldChar w:fldCharType="end"/>
            </w:r>
          </w:p>
        </w:tc>
        <w:tc>
          <w:tcPr>
            <w:tcW w:w="1534" w:type="dxa"/>
            <w:shd w:val="clear" w:color="000000" w:fill="auto"/>
            <w:vAlign w:val="top"/>
          </w:tcPr>
          <w:p>
            <w:pPr>
              <w:overflowPunct/>
              <w:autoSpaceDE/>
              <w:autoSpaceDN/>
              <w:adjustRightInd/>
              <w:spacing w:after="0"/>
              <w:textAlignment w:val="auto"/>
              <w:rPr>
                <w:rFonts w:ascii="Arial" w:hAnsi="Arial" w:eastAsia="Times New Roman" w:cs="Arial"/>
                <w:b/>
                <w:bCs/>
                <w:color w:val="000000"/>
                <w:sz w:val="18"/>
                <w:szCs w:val="18"/>
                <w:lang w:val="en-GB" w:eastAsia="en-GB" w:bidi="ar-SA"/>
              </w:rPr>
            </w:pPr>
            <w:r>
              <w:rPr>
                <w:rFonts w:ascii="Arial" w:hAnsi="Arial" w:cs="Arial"/>
                <w:b/>
                <w:bCs/>
                <w:color w:val="000000"/>
                <w:sz w:val="18"/>
                <w:szCs w:val="18"/>
                <w:lang w:eastAsia="en-GB"/>
              </w:rPr>
              <w:t xml:space="preserve">Zheng, Shaowen, CMCC </w:t>
            </w:r>
          </w:p>
        </w:tc>
      </w:tr>
    </w:tbl>
    <w:p>
      <w:pPr>
        <w:rPr>
          <w:lang w:eastAsia="en-GB"/>
        </w:rPr>
      </w:pPr>
      <w:r>
        <w:rPr>
          <w:lang w:eastAsia="en-GB"/>
        </w:rPr>
        <w:t xml:space="preserve">Summary based on the input provided by </w:t>
      </w:r>
      <w:r>
        <w:rPr>
          <w:rFonts w:hint="eastAsia" w:eastAsia="宋体"/>
          <w:lang w:val="en-US" w:eastAsia="zh-CN"/>
        </w:rPr>
        <w:t>CMCC</w:t>
      </w:r>
      <w:r>
        <w:rPr>
          <w:lang w:eastAsia="en-GB"/>
        </w:rPr>
        <w:t xml:space="preserve"> in SP-240781.</w:t>
      </w:r>
    </w:p>
    <w:p>
      <w:pPr>
        <w:rPr>
          <w:rFonts w:hint="default"/>
          <w:lang w:val="en-US" w:eastAsia="zh-CN"/>
        </w:rPr>
      </w:pPr>
      <w:r>
        <w:rPr>
          <w:lang w:eastAsia="zh-CN"/>
        </w:rPr>
        <w:t>Network slicing is the key technology for differentiated network requirements of vertical industries. SA1 defines the relevant requirements of the open network slicing capability API for trusted third parties in TS 22.261</w:t>
      </w:r>
      <w:r>
        <w:rPr>
          <w:rFonts w:hint="eastAsia"/>
          <w:lang w:val="en-US" w:eastAsia="zh-CN"/>
        </w:rPr>
        <w:t>[1]</w:t>
      </w:r>
      <w:r>
        <w:rPr>
          <w:lang w:eastAsia="zh-CN"/>
        </w:rPr>
        <w:t xml:space="preserve"> section 6.10, including the need to support the creation, modification, and deletion of slices, support the definition and update of slice capabilities, and support slice-related UE and service information configuration</w:t>
      </w:r>
      <w:r>
        <w:rPr>
          <w:rFonts w:hint="eastAsia"/>
          <w:lang w:val="en-US" w:eastAsia="zh-CN"/>
        </w:rPr>
        <w:t>.</w:t>
      </w:r>
    </w:p>
    <w:p>
      <w:r>
        <w:rPr>
          <w:lang w:eastAsia="en-GB"/>
        </w:rPr>
        <w:t>This work item is based on the conclusions captured in TR</w:t>
      </w:r>
      <w:r>
        <w:rPr>
          <w:rFonts w:hint="eastAsia" w:eastAsia="宋体"/>
          <w:lang w:val="en-US" w:eastAsia="zh-CN"/>
        </w:rPr>
        <w:t xml:space="preserve">23.700-99[2]. </w:t>
      </w:r>
      <w:r>
        <w:t>Network slice capability enablement</w:t>
      </w:r>
      <w:r>
        <w:rPr>
          <w:rFonts w:eastAsia="宋体"/>
          <w:lang w:eastAsia="zh-CN"/>
        </w:rPr>
        <w:t xml:space="preserve"> </w:t>
      </w:r>
      <w:r>
        <w:t xml:space="preserve">(NSCE) </w:t>
      </w:r>
      <w:r>
        <w:rPr>
          <w:rFonts w:hint="eastAsia" w:eastAsia="宋体"/>
          <w:lang w:val="en-US" w:eastAsia="zh-CN"/>
        </w:rPr>
        <w:t xml:space="preserve">service </w:t>
      </w:r>
      <w:r>
        <w:rPr>
          <w:rFonts w:hint="eastAsia"/>
          <w:lang w:val="en-US" w:eastAsia="zh-CN"/>
        </w:rPr>
        <w:t xml:space="preserve">specified in </w:t>
      </w:r>
      <w:r>
        <w:rPr>
          <w:rFonts w:hint="eastAsia" w:eastAsia="宋体"/>
          <w:lang w:val="en-US" w:eastAsia="zh-CN"/>
        </w:rPr>
        <w:t>this work item</w:t>
      </w:r>
      <w:r>
        <w:rPr>
          <w:rFonts w:hint="eastAsia"/>
          <w:lang w:val="en-US" w:eastAsia="zh-CN"/>
        </w:rPr>
        <w:t xml:space="preserve"> </w:t>
      </w:r>
      <w:r>
        <w:t>enabl</w:t>
      </w:r>
      <w:r>
        <w:rPr>
          <w:rFonts w:eastAsia="宋体"/>
          <w:lang w:eastAsia="zh-CN"/>
        </w:rPr>
        <w:t>es</w:t>
      </w:r>
      <w:r>
        <w:t xml:space="preserve"> the network slice related capabilities towards 3</w:t>
      </w:r>
      <w:r>
        <w:rPr>
          <w:vertAlign w:val="superscript"/>
        </w:rPr>
        <w:t>rd</w:t>
      </w:r>
      <w:r>
        <w:t xml:space="preserve"> party o</w:t>
      </w:r>
      <w:r>
        <w:rPr>
          <w:rFonts w:eastAsia="MS Mincho"/>
        </w:rPr>
        <w:t>n the basis of R17 SEAL</w:t>
      </w:r>
      <w:r>
        <w:t>. The NSCE service provid</w:t>
      </w:r>
      <w:r>
        <w:rPr>
          <w:rFonts w:eastAsia="宋体"/>
          <w:lang w:eastAsia="zh-CN"/>
        </w:rPr>
        <w:t>es</w:t>
      </w:r>
      <w:r>
        <w:t xml:space="preserve"> additional functionality and expose</w:t>
      </w:r>
      <w:r>
        <w:rPr>
          <w:rFonts w:eastAsia="宋体"/>
          <w:lang w:eastAsia="zh-CN"/>
        </w:rPr>
        <w:t>s</w:t>
      </w:r>
      <w:r>
        <w:t xml:space="preserve"> slice capabilities based on 5GS management system services (e.g MnS services</w:t>
      </w:r>
      <w:r>
        <w:rPr>
          <w:rFonts w:eastAsia="宋体"/>
          <w:lang w:eastAsia="zh-CN"/>
        </w:rPr>
        <w:t>)</w:t>
      </w:r>
      <w:r>
        <w:t xml:space="preserve"> and 5GS network service</w:t>
      </w:r>
      <w:r>
        <w:rPr>
          <w:rFonts w:eastAsia="宋体"/>
          <w:lang w:eastAsia="zh-CN"/>
        </w:rPr>
        <w:t>s</w:t>
      </w:r>
      <w:r>
        <w:t xml:space="preserve"> (e.g. NEF APIs, NWDAF APIs, NSACF APIs). </w:t>
      </w:r>
    </w:p>
    <w:p>
      <w:pPr>
        <w:rPr>
          <w:rFonts w:hint="eastAsia" w:eastAsia="宋体"/>
          <w:lang w:val="en-US" w:eastAsia="zh-CN"/>
        </w:rPr>
      </w:pPr>
      <w:r>
        <w:rPr>
          <w:rFonts w:hint="eastAsia" w:eastAsia="宋体"/>
          <w:lang w:val="en-US" w:eastAsia="zh-CN"/>
        </w:rPr>
        <w:t>The following features are supported:</w:t>
      </w:r>
    </w:p>
    <w:p>
      <w:pPr>
        <w:pStyle w:val="13"/>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Slice API configuration and translation, provides the exposure of APIs in a slice-tailored manner by configuring and translating the slice API to service APIs based on per slice requirements, as specified in clause 9.3 of TS 23.435[3].  </w:t>
      </w:r>
    </w:p>
    <w:p>
      <w:pPr>
        <w:pStyle w:val="13"/>
        <w:bidi w:val="0"/>
        <w:rPr>
          <w:rFonts w:hint="default"/>
          <w:lang w:val="en-US" w:eastAsia="en-GB"/>
        </w:rPr>
      </w:pPr>
      <w:r>
        <w:rPr>
          <w:rFonts w:hint="eastAsia" w:eastAsia="宋体"/>
          <w:lang w:val="en-US" w:eastAsia="zh-CN"/>
        </w:rPr>
        <w:t>-</w:t>
      </w:r>
      <w:r>
        <w:rPr>
          <w:rFonts w:hint="eastAsia" w:eastAsia="宋体"/>
          <w:lang w:val="en-US" w:eastAsia="zh-CN"/>
        </w:rPr>
        <w:tab/>
      </w:r>
      <w:r>
        <w:rPr>
          <w:rFonts w:hint="eastAsia"/>
          <w:lang w:eastAsia="en-GB"/>
        </w:rPr>
        <w:t>Discovery of management service exposure</w:t>
      </w:r>
      <w:r>
        <w:rPr>
          <w:rFonts w:hint="eastAsia"/>
          <w:lang w:val="en-US" w:eastAsia="zh-CN"/>
        </w:rPr>
        <w:t xml:space="preserve"> as specified in clause 9.6 of TS 23.435[3].</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Network slice performance and analytics monitoring</w:t>
      </w:r>
      <w:r>
        <w:rPr>
          <w:rFonts w:hint="eastAsia"/>
          <w:lang w:val="en-US" w:eastAsia="zh-CN"/>
        </w:rPr>
        <w:t xml:space="preserve"> as specified in clause 9.7 of TS 23.435[3]</w:t>
      </w:r>
      <w:r>
        <w:rPr>
          <w:rFonts w:hint="eastAsia"/>
          <w:lang w:eastAsia="en-GB"/>
        </w:rPr>
        <w:t>.</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Network slice diagnostics as specified in clause 9.14</w:t>
      </w:r>
      <w:r>
        <w:rPr>
          <w:rFonts w:hint="eastAsia"/>
          <w:lang w:val="en-US" w:eastAsia="zh-CN"/>
        </w:rPr>
        <w:t xml:space="preserve"> of TS 23.435[3]</w:t>
      </w:r>
      <w:r>
        <w:rPr>
          <w:rFonts w:hint="eastAsia"/>
          <w:lang w:eastAsia="en-GB"/>
        </w:rPr>
        <w:t>..</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Network slice fault management capability exposure</w:t>
      </w:r>
      <w:r>
        <w:rPr>
          <w:rFonts w:hint="eastAsia"/>
          <w:lang w:val="en-US" w:eastAsia="zh-CN"/>
        </w:rPr>
        <w:t xml:space="preserve"> as</w:t>
      </w:r>
      <w:r>
        <w:rPr>
          <w:rFonts w:hint="eastAsia"/>
          <w:lang w:eastAsia="en-GB"/>
        </w:rPr>
        <w:t xml:space="preserve"> specified in clause 9.15</w:t>
      </w:r>
      <w:r>
        <w:rPr>
          <w:rFonts w:hint="eastAsia"/>
          <w:lang w:val="en-US" w:eastAsia="zh-CN"/>
        </w:rPr>
        <w:t xml:space="preserve"> of TS 23.435[3]</w:t>
      </w:r>
      <w:r>
        <w:rPr>
          <w:rFonts w:hint="eastAsia"/>
          <w:lang w:eastAsia="en-GB"/>
        </w:rPr>
        <w:t>.</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Slice requirements verification and alignment capability exposure</w:t>
      </w:r>
      <w:r>
        <w:rPr>
          <w:rFonts w:hint="eastAsia"/>
          <w:lang w:val="en-US" w:eastAsia="zh-CN"/>
        </w:rPr>
        <w:t xml:space="preserve"> a</w:t>
      </w:r>
      <w:r>
        <w:rPr>
          <w:rFonts w:hint="eastAsia"/>
          <w:lang w:eastAsia="en-GB"/>
        </w:rPr>
        <w:t>s specified in clause 9.16</w:t>
      </w:r>
      <w:r>
        <w:rPr>
          <w:rFonts w:hint="eastAsia"/>
          <w:lang w:val="en-US" w:eastAsia="zh-CN"/>
        </w:rPr>
        <w:t xml:space="preserve"> of TS 23.435[3]</w:t>
      </w:r>
      <w:r>
        <w:rPr>
          <w:rFonts w:hint="eastAsia"/>
          <w:lang w:eastAsia="en-GB"/>
        </w:rPr>
        <w:t>.</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Network Slice Information delivery</w:t>
      </w:r>
      <w:r>
        <w:rPr>
          <w:rFonts w:hint="eastAsia"/>
          <w:lang w:val="en-US" w:eastAsia="zh-CN"/>
        </w:rPr>
        <w:t xml:space="preserve"> a</w:t>
      </w:r>
      <w:r>
        <w:rPr>
          <w:rFonts w:hint="eastAsia"/>
          <w:lang w:eastAsia="en-GB"/>
        </w:rPr>
        <w:t>s specified in clause 9.17</w:t>
      </w:r>
      <w:r>
        <w:rPr>
          <w:rFonts w:hint="eastAsia"/>
          <w:lang w:val="en-US" w:eastAsia="zh-CN"/>
        </w:rPr>
        <w:t xml:space="preserve"> of TS 23.435[3]</w:t>
      </w:r>
      <w:r>
        <w:rPr>
          <w:rFonts w:hint="eastAsia"/>
          <w:lang w:eastAsia="en-GB"/>
        </w:rPr>
        <w:t>.</w:t>
      </w:r>
    </w:p>
    <w:p>
      <w:pPr>
        <w:pStyle w:val="13"/>
        <w:bidi w:val="0"/>
        <w:rPr>
          <w:lang w:eastAsia="en-GB"/>
        </w:rPr>
      </w:pPr>
      <w:r>
        <w:rPr>
          <w:rFonts w:hint="eastAsia" w:eastAsia="宋体"/>
          <w:lang w:val="en-US" w:eastAsia="zh-CN"/>
        </w:rPr>
        <w:t>-</w:t>
      </w:r>
      <w:r>
        <w:rPr>
          <w:rFonts w:hint="eastAsia" w:eastAsia="宋体"/>
          <w:lang w:val="en-US" w:eastAsia="zh-CN"/>
        </w:rPr>
        <w:tab/>
      </w:r>
      <w:r>
        <w:rPr>
          <w:rFonts w:hint="eastAsia"/>
          <w:lang w:eastAsia="en-GB"/>
        </w:rPr>
        <w:t>Network Slice Allocation</w:t>
      </w:r>
      <w:r>
        <w:rPr>
          <w:rFonts w:hint="eastAsia"/>
          <w:lang w:val="en-US" w:eastAsia="zh-CN"/>
        </w:rPr>
        <w:t xml:space="preserve"> a</w:t>
      </w:r>
      <w:r>
        <w:rPr>
          <w:rFonts w:hint="eastAsia"/>
          <w:lang w:eastAsia="en-GB"/>
        </w:rPr>
        <w:t>s specified in clause 9.18</w:t>
      </w:r>
      <w:r>
        <w:rPr>
          <w:rFonts w:hint="eastAsia"/>
          <w:lang w:val="en-US" w:eastAsia="zh-CN"/>
        </w:rPr>
        <w:t xml:space="preserve"> of TS 23.435[3]</w:t>
      </w:r>
      <w:r>
        <w:rPr>
          <w:rFonts w:hint="eastAsia"/>
          <w:lang w:eastAsia="en-GB"/>
        </w:rPr>
        <w:t>.</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Information collection from NSCE server(s)</w:t>
      </w:r>
      <w:r>
        <w:rPr>
          <w:rFonts w:hint="eastAsia"/>
          <w:lang w:val="en-US" w:eastAsia="zh-CN"/>
        </w:rPr>
        <w:t xml:space="preserve">, supports the </w:t>
      </w:r>
      <w:r>
        <w:rPr>
          <w:rFonts w:hint="eastAsia"/>
          <w:lang w:eastAsia="en-GB"/>
        </w:rPr>
        <w:t>network slice status expos</w:t>
      </w:r>
      <w:r>
        <w:rPr>
          <w:rFonts w:hint="eastAsia"/>
          <w:lang w:val="en-US" w:eastAsia="zh-CN"/>
        </w:rPr>
        <w:t>ure</w:t>
      </w:r>
      <w:r>
        <w:rPr>
          <w:rFonts w:hint="eastAsia"/>
          <w:lang w:eastAsia="en-GB"/>
        </w:rPr>
        <w:t xml:space="preserve"> to other NSCE server(s) if some agreement has been made</w:t>
      </w:r>
      <w:r>
        <w:rPr>
          <w:rFonts w:hint="eastAsia"/>
          <w:lang w:val="en-US" w:eastAsia="zh-CN"/>
        </w:rPr>
        <w:t>, as</w:t>
      </w:r>
      <w:r>
        <w:rPr>
          <w:rFonts w:hint="eastAsia"/>
          <w:lang w:eastAsia="en-GB"/>
        </w:rPr>
        <w:t xml:space="preserve"> specified in clause 9.8</w:t>
      </w:r>
      <w:r>
        <w:rPr>
          <w:rFonts w:hint="eastAsia"/>
          <w:lang w:val="en-US" w:eastAsia="zh-CN"/>
        </w:rPr>
        <w:t xml:space="preserve"> of TS 23.435[3]</w:t>
      </w:r>
      <w:r>
        <w:rPr>
          <w:rFonts w:hint="eastAsia"/>
          <w:lang w:eastAsia="en-GB"/>
        </w:rPr>
        <w:t>.</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Application layer network slice lifecycle management</w:t>
      </w:r>
      <w:r>
        <w:rPr>
          <w:rFonts w:hint="eastAsia"/>
          <w:lang w:val="en-US" w:eastAsia="zh-CN"/>
        </w:rPr>
        <w:t xml:space="preserve"> as specified in clause 9.4 of TS 23.435[3]</w:t>
      </w:r>
      <w:r>
        <w:rPr>
          <w:rFonts w:hint="eastAsia"/>
          <w:lang w:eastAsia="en-GB"/>
        </w:rPr>
        <w:t xml:space="preserve">. </w:t>
      </w:r>
    </w:p>
    <w:p>
      <w:pPr>
        <w:pStyle w:val="13"/>
        <w:bidi w:val="0"/>
        <w:rPr>
          <w:rFonts w:hint="eastAsia"/>
          <w:lang w:val="en-US" w:eastAsia="zh-CN"/>
        </w:rPr>
      </w:pPr>
      <w:r>
        <w:rPr>
          <w:rFonts w:hint="eastAsia" w:eastAsia="宋体"/>
          <w:lang w:val="en-US" w:eastAsia="zh-CN"/>
        </w:rPr>
        <w:t>-</w:t>
      </w:r>
      <w:r>
        <w:rPr>
          <w:rFonts w:hint="eastAsia" w:eastAsia="宋体"/>
          <w:lang w:val="en-US" w:eastAsia="zh-CN"/>
        </w:rPr>
        <w:tab/>
      </w:r>
      <w:r>
        <w:rPr>
          <w:rFonts w:hint="eastAsia"/>
          <w:lang w:eastAsia="en-GB"/>
        </w:rPr>
        <w:t>Network slice optimization based on VAL server policy</w:t>
      </w:r>
      <w:r>
        <w:rPr>
          <w:rFonts w:hint="eastAsia"/>
          <w:lang w:val="en-US" w:eastAsia="zh-CN"/>
        </w:rPr>
        <w:t xml:space="preserve"> as specified in clause 9.5 of TS 23.435[3].</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Multiple slices coordinated resource optimization</w:t>
      </w:r>
      <w:r>
        <w:rPr>
          <w:rFonts w:hint="eastAsia"/>
          <w:lang w:val="en-US" w:eastAsia="zh-CN"/>
        </w:rPr>
        <w:t xml:space="preserve">, </w:t>
      </w:r>
      <w:r>
        <w:rPr>
          <w:rFonts w:hint="eastAsia"/>
          <w:lang w:eastAsia="en-GB"/>
        </w:rPr>
        <w:t>monitor</w:t>
      </w:r>
      <w:r>
        <w:rPr>
          <w:rFonts w:hint="eastAsia"/>
          <w:lang w:val="en-US" w:eastAsia="zh-CN"/>
        </w:rPr>
        <w:t>s</w:t>
      </w:r>
      <w:r>
        <w:rPr>
          <w:rFonts w:hint="eastAsia"/>
          <w:lang w:eastAsia="en-GB"/>
        </w:rPr>
        <w:t xml:space="preserve"> the slice usage status of multiple slices (PNI-NPN slice(s) and its private slice in the PLMN) of the PNI-NPN owner in a combined manner</w:t>
      </w:r>
      <w:r>
        <w:rPr>
          <w:rFonts w:hint="eastAsia"/>
          <w:lang w:val="en-US" w:eastAsia="zh-CN"/>
        </w:rPr>
        <w:t>, as</w:t>
      </w:r>
      <w:r>
        <w:rPr>
          <w:rFonts w:hint="eastAsia"/>
          <w:lang w:eastAsia="en-GB"/>
        </w:rPr>
        <w:t xml:space="preserve"> specified in clause 9.10</w:t>
      </w:r>
      <w:r>
        <w:rPr>
          <w:rFonts w:hint="eastAsia"/>
          <w:lang w:val="en-US" w:eastAsia="zh-CN"/>
        </w:rPr>
        <w:t xml:space="preserve"> of TS 23.435[3]</w:t>
      </w:r>
      <w:r>
        <w:rPr>
          <w:rFonts w:hint="eastAsia"/>
          <w:lang w:eastAsia="en-GB"/>
        </w:rPr>
        <w:t>.</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Predictive slice modification in edge based NSCE deployments</w:t>
      </w:r>
      <w:r>
        <w:rPr>
          <w:rFonts w:hint="eastAsia"/>
          <w:lang w:val="en-US" w:eastAsia="zh-CN"/>
        </w:rPr>
        <w:t xml:space="preserve">, </w:t>
      </w:r>
      <w:r>
        <w:rPr>
          <w:rFonts w:hint="eastAsia"/>
          <w:lang w:eastAsia="en-GB"/>
        </w:rPr>
        <w:t>avoid</w:t>
      </w:r>
      <w:r>
        <w:rPr>
          <w:rFonts w:hint="eastAsia"/>
          <w:lang w:val="en-US" w:eastAsia="zh-CN"/>
        </w:rPr>
        <w:t>s</w:t>
      </w:r>
      <w:r>
        <w:rPr>
          <w:rFonts w:hint="eastAsia"/>
          <w:lang w:eastAsia="en-GB"/>
        </w:rPr>
        <w:t xml:space="preserve"> degradation of the application service performance </w:t>
      </w:r>
      <w:r>
        <w:rPr>
          <w:rFonts w:hint="eastAsia"/>
          <w:lang w:val="en-US" w:eastAsia="zh-CN"/>
        </w:rPr>
        <w:t xml:space="preserve">by </w:t>
      </w:r>
      <w:r>
        <w:t>service continuity negotiation</w:t>
      </w:r>
      <w:r>
        <w:rPr>
          <w:rFonts w:hint="eastAsia"/>
          <w:lang w:val="en-US" w:eastAsia="zh-CN"/>
        </w:rPr>
        <w:t xml:space="preserve"> among </w:t>
      </w:r>
      <w:r>
        <w:rPr>
          <w:rFonts w:hint="eastAsia"/>
          <w:lang w:eastAsia="en-GB"/>
        </w:rPr>
        <w:t>NSCE server</w:t>
      </w:r>
      <w:r>
        <w:rPr>
          <w:rFonts w:hint="eastAsia"/>
          <w:lang w:val="en-US" w:eastAsia="zh-CN"/>
        </w:rPr>
        <w:t xml:space="preserve">s in different EDNs, as </w:t>
      </w:r>
      <w:r>
        <w:rPr>
          <w:rFonts w:hint="eastAsia"/>
          <w:lang w:eastAsia="en-GB"/>
        </w:rPr>
        <w:t>specified in clause 9.9</w:t>
      </w:r>
      <w:r>
        <w:rPr>
          <w:rFonts w:hint="eastAsia"/>
          <w:lang w:val="en-US" w:eastAsia="zh-CN"/>
        </w:rPr>
        <w:t xml:space="preserve"> of TS 23.435[3]</w:t>
      </w:r>
      <w:r>
        <w:rPr>
          <w:rFonts w:hint="eastAsia"/>
          <w:lang w:eastAsia="en-GB"/>
        </w:rPr>
        <w:t>.</w:t>
      </w:r>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Predictive slice modification in Inter-PLMN based slice service continuity</w:t>
      </w:r>
      <w:r>
        <w:rPr>
          <w:rFonts w:hint="eastAsia" w:eastAsia="宋体"/>
          <w:lang w:val="en-US" w:eastAsia="zh-CN"/>
        </w:rPr>
        <w:t>,</w:t>
      </w:r>
      <w:r>
        <w:rPr>
          <w:rFonts w:hint="eastAsia"/>
          <w:lang w:val="en-US" w:eastAsia="zh-CN"/>
        </w:rPr>
        <w:t xml:space="preserve"> </w:t>
      </w:r>
      <w:r>
        <w:t xml:space="preserve">NSCE service provider </w:t>
      </w:r>
      <w:r>
        <w:rPr>
          <w:rFonts w:hint="eastAsia" w:eastAsia="宋体"/>
          <w:lang w:val="en-US" w:eastAsia="zh-CN"/>
        </w:rPr>
        <w:t xml:space="preserve"> </w:t>
      </w:r>
      <w:r>
        <w:rPr>
          <w:rFonts w:hint="eastAsia"/>
          <w:lang w:eastAsia="en-GB"/>
        </w:rPr>
        <w:t>provides slice service continuity</w:t>
      </w:r>
      <w:r>
        <w:rPr>
          <w:rFonts w:hint="eastAsia"/>
          <w:lang w:val="en-US" w:eastAsia="zh-CN"/>
        </w:rPr>
        <w:t xml:space="preserve"> </w:t>
      </w:r>
      <w:r>
        <w:rPr>
          <w:rFonts w:hint="eastAsia"/>
          <w:lang w:eastAsia="en-GB"/>
        </w:rPr>
        <w:t>when connected to two PLMNs and has SLA</w:t>
      </w:r>
      <w:r>
        <w:rPr>
          <w:rFonts w:hint="eastAsia" w:eastAsia="宋体"/>
          <w:lang w:val="en-US" w:eastAsia="zh-CN"/>
        </w:rPr>
        <w:t>s</w:t>
      </w:r>
      <w:r>
        <w:rPr>
          <w:rFonts w:hint="eastAsia"/>
          <w:lang w:eastAsia="en-GB"/>
        </w:rPr>
        <w:t xml:space="preserve"> with them</w:t>
      </w:r>
      <w:r>
        <w:rPr>
          <w:rFonts w:hint="eastAsia"/>
          <w:lang w:val="en-US" w:eastAsia="zh-CN"/>
        </w:rPr>
        <w:t>, as</w:t>
      </w:r>
      <w:r>
        <w:rPr>
          <w:rFonts w:hint="eastAsia"/>
          <w:lang w:eastAsia="en-GB"/>
        </w:rPr>
        <w:t xml:space="preserve"> specified in clause 9.13</w:t>
      </w:r>
      <w:r>
        <w:rPr>
          <w:rFonts w:hint="eastAsia"/>
          <w:lang w:val="en-US" w:eastAsia="zh-CN"/>
        </w:rPr>
        <w:t xml:space="preserve"> of TS 23.435[3]</w:t>
      </w:r>
      <w:r>
        <w:rPr>
          <w:rFonts w:hint="eastAsia"/>
          <w:lang w:eastAsia="en-GB"/>
        </w:rPr>
        <w:t>.</w:t>
      </w:r>
      <w:bookmarkStart w:id="1" w:name="_GoBack"/>
      <w:bookmarkEnd w:id="1"/>
    </w:p>
    <w:p>
      <w:pPr>
        <w:pStyle w:val="13"/>
        <w:bidi w:val="0"/>
        <w:rPr>
          <w:rFonts w:hint="eastAsia"/>
          <w:lang w:eastAsia="en-GB"/>
        </w:rPr>
      </w:pPr>
      <w:r>
        <w:rPr>
          <w:rFonts w:hint="eastAsia" w:eastAsia="宋体"/>
          <w:lang w:val="en-US" w:eastAsia="zh-CN"/>
        </w:rPr>
        <w:t>-</w:t>
      </w:r>
      <w:r>
        <w:rPr>
          <w:rFonts w:hint="eastAsia" w:eastAsia="宋体"/>
          <w:lang w:val="en-US" w:eastAsia="zh-CN"/>
        </w:rPr>
        <w:tab/>
      </w:r>
      <w:r>
        <w:rPr>
          <w:rFonts w:hint="eastAsia"/>
          <w:lang w:eastAsia="en-GB"/>
        </w:rPr>
        <w:t>Network slice adaptation for VAL application</w:t>
      </w:r>
      <w:r>
        <w:rPr>
          <w:rFonts w:hint="eastAsia"/>
          <w:lang w:val="en-US" w:eastAsia="zh-CN"/>
        </w:rPr>
        <w:t xml:space="preserve">, </w:t>
      </w:r>
      <w:r>
        <w:rPr>
          <w:rFonts w:hint="eastAsia"/>
          <w:lang w:eastAsia="en-GB"/>
        </w:rPr>
        <w:t>adapt</w:t>
      </w:r>
      <w:r>
        <w:rPr>
          <w:rFonts w:hint="eastAsia"/>
          <w:lang w:val="en-US" w:eastAsia="zh-CN"/>
        </w:rPr>
        <w:t>s</w:t>
      </w:r>
      <w:r>
        <w:rPr>
          <w:rFonts w:hint="eastAsia"/>
          <w:lang w:eastAsia="en-GB"/>
        </w:rPr>
        <w:t xml:space="preserve"> the network slice for the VAL application via providing a guidance to update the URSP rules at the 5GS</w:t>
      </w:r>
      <w:r>
        <w:rPr>
          <w:rFonts w:hint="eastAsia"/>
          <w:lang w:val="en-US" w:eastAsia="zh-CN"/>
        </w:rPr>
        <w:t xml:space="preserve">, as </w:t>
      </w:r>
      <w:r>
        <w:rPr>
          <w:rFonts w:hint="eastAsia"/>
          <w:lang w:eastAsia="en-GB"/>
        </w:rPr>
        <w:t>specified in clause 9.11</w:t>
      </w:r>
      <w:r>
        <w:rPr>
          <w:rFonts w:hint="eastAsia"/>
          <w:lang w:val="en-US" w:eastAsia="zh-CN"/>
        </w:rPr>
        <w:t xml:space="preserve"> of TS 23.435[3]</w:t>
      </w:r>
      <w:r>
        <w:rPr>
          <w:rFonts w:hint="eastAsia"/>
          <w:lang w:eastAsia="en-GB"/>
        </w:rPr>
        <w:t>.</w:t>
      </w:r>
    </w:p>
    <w:p>
      <w:pPr>
        <w:pStyle w:val="13"/>
        <w:bidi w:val="0"/>
      </w:pPr>
      <w:r>
        <w:rPr>
          <w:rFonts w:hint="eastAsia" w:eastAsia="宋体"/>
          <w:lang w:val="en-US" w:eastAsia="zh-CN"/>
        </w:rPr>
        <w:t>-</w:t>
      </w:r>
      <w:r>
        <w:rPr>
          <w:rFonts w:hint="eastAsia" w:eastAsia="宋体"/>
          <w:lang w:val="en-US" w:eastAsia="zh-CN"/>
        </w:rPr>
        <w:tab/>
      </w:r>
      <w:r>
        <w:rPr>
          <w:rFonts w:hint="eastAsia"/>
          <w:lang w:eastAsia="en-GB"/>
        </w:rPr>
        <w:t>Slice related communication service lifecycle management</w:t>
      </w:r>
      <w:r>
        <w:rPr>
          <w:rFonts w:hint="eastAsia"/>
          <w:lang w:val="en-US" w:eastAsia="zh-CN"/>
        </w:rPr>
        <w:t xml:space="preserve"> as</w:t>
      </w:r>
      <w:r>
        <w:rPr>
          <w:rFonts w:hint="eastAsia"/>
          <w:lang w:eastAsia="en-GB"/>
        </w:rPr>
        <w:t xml:space="preserve"> specified in clause 9.12</w:t>
      </w:r>
      <w:r>
        <w:rPr>
          <w:rFonts w:hint="eastAsia"/>
          <w:lang w:val="en-US" w:eastAsia="zh-CN"/>
        </w:rPr>
        <w:t xml:space="preserve"> of TS 23.435[3]</w:t>
      </w:r>
      <w:r>
        <w:rPr>
          <w:rFonts w:hint="eastAsia"/>
          <w:lang w:eastAsia="en-GB"/>
        </w:rPr>
        <w:t>.</w:t>
      </w:r>
    </w:p>
    <w:p>
      <w:pPr>
        <w:rPr>
          <w:bCs/>
        </w:rPr>
      </w:pPr>
    </w:p>
    <w:p>
      <w:pPr>
        <w:rPr>
          <w:b/>
        </w:rPr>
      </w:pPr>
      <w:r>
        <w:rPr>
          <w:b/>
        </w:rPr>
        <w:t>References</w:t>
      </w:r>
    </w:p>
    <w:p>
      <w:pPr>
        <w:pStyle w:val="11"/>
      </w:pPr>
      <w:r>
        <w:t>[1]</w:t>
      </w:r>
      <w:r>
        <w:tab/>
      </w:r>
      <w:r>
        <w:t>3GPP TS 22.261: "Service requirements for the 5G system; Stage 1".</w:t>
      </w:r>
    </w:p>
    <w:p>
      <w:pPr>
        <w:pStyle w:val="11"/>
      </w:pPr>
      <w:r>
        <w:rPr>
          <w:rFonts w:hint="eastAsia" w:eastAsia="宋体"/>
          <w:lang w:val="en-US" w:eastAsia="zh-CN"/>
        </w:rPr>
        <w:t>[2]</w:t>
      </w:r>
      <w:r>
        <w:rPr>
          <w:rFonts w:hint="eastAsia" w:eastAsia="宋体"/>
          <w:lang w:val="en-US" w:eastAsia="zh-CN"/>
        </w:rPr>
        <w:tab/>
      </w:r>
      <w:r>
        <w:t>TR </w:t>
      </w:r>
      <w:r>
        <w:rPr>
          <w:rFonts w:hint="eastAsia"/>
          <w:lang w:val="en-US" w:eastAsia="zh-CN"/>
        </w:rPr>
        <w:t>24</w:t>
      </w:r>
      <w:r>
        <w:t>.</w:t>
      </w:r>
      <w:r>
        <w:rPr>
          <w:rFonts w:hint="eastAsia"/>
          <w:lang w:val="en-US" w:eastAsia="zh-CN"/>
        </w:rPr>
        <w:t>700-99</w:t>
      </w:r>
      <w:r>
        <w:t>: “</w:t>
      </w:r>
      <w:r>
        <w:rPr>
          <w:rFonts w:hint="eastAsia"/>
          <w:lang w:eastAsia="zh-CN"/>
        </w:rPr>
        <w:t>Study</w:t>
      </w:r>
      <w:r>
        <w:t xml:space="preserve"> on Network Slice Capability Exposure for</w:t>
      </w:r>
      <w:r>
        <w:rPr>
          <w:rFonts w:hint="eastAsia"/>
          <w:lang w:val="en-US" w:eastAsia="zh-CN"/>
        </w:rPr>
        <w:t xml:space="preserve"> </w:t>
      </w:r>
      <w:r>
        <w:rPr>
          <w:lang w:eastAsia="zh-CN"/>
        </w:rPr>
        <w:t xml:space="preserve">Application Layer Enablement </w:t>
      </w:r>
      <w:r>
        <w:rPr>
          <w:rFonts w:hint="eastAsia"/>
          <w:lang w:val="en-US" w:eastAsia="zh-CN"/>
        </w:rPr>
        <w:t>(NSCALE)</w:t>
      </w:r>
      <w:r>
        <w:t>”</w:t>
      </w:r>
    </w:p>
    <w:p>
      <w:pPr>
        <w:pStyle w:val="11"/>
      </w:pPr>
      <w:r>
        <w:t>[</w:t>
      </w:r>
      <w:r>
        <w:rPr>
          <w:rFonts w:hint="eastAsia" w:eastAsia="宋体"/>
          <w:lang w:val="en-US" w:eastAsia="zh-CN"/>
        </w:rPr>
        <w:t>3</w:t>
      </w:r>
      <w:r>
        <w:t>]</w:t>
      </w:r>
      <w:r>
        <w:tab/>
      </w:r>
      <w:r>
        <w:t>TS 23.</w:t>
      </w:r>
      <w:r>
        <w:rPr>
          <w:rFonts w:hint="eastAsia"/>
          <w:lang w:val="en-US" w:eastAsia="zh-CN"/>
        </w:rPr>
        <w:t>435</w:t>
      </w:r>
      <w:r>
        <w:t>: “Procedures for Network Slice Capability Exposure for Application Layer Enablement Service”</w:t>
      </w:r>
    </w:p>
    <w:bookmarkEnd w:id="0"/>
    <w:p/>
    <w:sectPr>
      <w:pgSz w:w="11906" w:h="16838"/>
      <w:pgMar w:top="1440" w:right="1800" w:bottom="1440" w:left="10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57A176F"/>
    <w:rsid w:val="0FA24507"/>
    <w:rsid w:val="1B8A440C"/>
    <w:rsid w:val="1E837F9C"/>
    <w:rsid w:val="239E3ACD"/>
    <w:rsid w:val="23D200D4"/>
    <w:rsid w:val="4AEA5BFB"/>
    <w:rsid w:val="4B8B49A7"/>
    <w:rsid w:val="4EAE62F8"/>
    <w:rsid w:val="5F781A34"/>
    <w:rsid w:val="608D50B6"/>
    <w:rsid w:val="6387070F"/>
    <w:rsid w:val="657A176F"/>
    <w:rsid w:val="690E505E"/>
    <w:rsid w:val="6941163D"/>
    <w:rsid w:val="751F4D3B"/>
    <w:rsid w:val="7CE66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8"/>
    <w:basedOn w:val="2"/>
    <w:next w:val="1"/>
    <w:qFormat/>
    <w:uiPriority w:val="0"/>
    <w:pPr>
      <w:ind w:left="0" w:firstLine="0"/>
      <w:outlineLvl w:val="7"/>
    </w:pPr>
  </w:style>
  <w:style w:type="paragraph" w:styleId="5">
    <w:name w:val="heading 9"/>
    <w:basedOn w:val="4"/>
    <w:next w:val="1"/>
    <w:qFormat/>
    <w:uiPriority w:val="0"/>
    <w:pPr>
      <w:outlineLvl w:val="8"/>
    </w:p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character" w:styleId="8">
    <w:name w:val="Hyperlink"/>
    <w:qFormat/>
    <w:uiPriority w:val="99"/>
    <w:rPr>
      <w:color w:val="0000FF"/>
      <w:u w:val="single"/>
    </w:rPr>
  </w:style>
  <w:style w:type="paragraph" w:customStyle="1" w:styleId="9">
    <w:name w:val="Editor's Note"/>
    <w:basedOn w:val="10"/>
    <w:qFormat/>
    <w:uiPriority w:val="0"/>
    <w:rPr>
      <w:color w:val="FF0000"/>
    </w:rPr>
  </w:style>
  <w:style w:type="paragraph" w:customStyle="1" w:styleId="10">
    <w:name w:val="NO"/>
    <w:basedOn w:val="1"/>
    <w:qFormat/>
    <w:uiPriority w:val="0"/>
    <w:pPr>
      <w:keepLines/>
      <w:ind w:left="1135" w:hanging="851"/>
    </w:pPr>
  </w:style>
  <w:style w:type="paragraph" w:customStyle="1" w:styleId="11">
    <w:name w:val="EW"/>
    <w:basedOn w:val="12"/>
    <w:qFormat/>
    <w:uiPriority w:val="0"/>
    <w:pPr>
      <w:spacing w:after="0"/>
    </w:pPr>
  </w:style>
  <w:style w:type="paragraph" w:customStyle="1" w:styleId="12">
    <w:name w:val="EX"/>
    <w:basedOn w:val="1"/>
    <w:qFormat/>
    <w:uiPriority w:val="0"/>
    <w:pPr>
      <w:keepLines/>
      <w:ind w:left="1702" w:hanging="1418"/>
    </w:pPr>
  </w:style>
  <w:style w:type="paragraph" w:customStyle="1" w:styleId="13">
    <w:name w:val="B1"/>
    <w:basedOn w:val="1"/>
    <w:qFormat/>
    <w:uiPriority w:val="0"/>
    <w:pPr>
      <w:ind w:left="568" w:hanging="284"/>
    </w:pPr>
  </w:style>
  <w:style w:type="paragraph" w:customStyle="1" w:styleId="1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5">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2</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2024-06-07T03:11:00Z</dcterms:created>
  <dc:creator>cmcc</dc:creator>
  <cp:lastModifiedBy>Rapporteur</cp:lastModifiedBy>
  <dcterms:modified xsi:type="dcterms:W3CDTF">2024-06-11T10:34:04Z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2DFED1A000444ADCA49A5DF3123C1592</vt:lpwstr>
  </property>
</Properties>
</file>